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96A" w:rsidRDefault="00E311BF">
      <w:pPr>
        <w:pStyle w:val="normal0"/>
        <w:spacing w:line="576" w:lineRule="auto"/>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Name:</w:t>
      </w:r>
    </w:p>
    <w:p w:rsidR="00EC2D80" w:rsidRDefault="00EC2D80">
      <w:pPr>
        <w:pStyle w:val="normal0"/>
        <w:spacing w:line="576" w:lineRule="auto"/>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 xml:space="preserve">Tutor </w:t>
      </w:r>
    </w:p>
    <w:p w:rsidR="00D4196A" w:rsidRDefault="00EC2D80">
      <w:pPr>
        <w:pStyle w:val="normal0"/>
        <w:spacing w:line="576" w:lineRule="auto"/>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Course</w:t>
      </w:r>
    </w:p>
    <w:p w:rsidR="00D4196A" w:rsidRDefault="00E311BF">
      <w:pPr>
        <w:pStyle w:val="normal0"/>
        <w:pBdr>
          <w:bottom w:val="none" w:sz="0" w:space="10" w:color="auto"/>
        </w:pBdr>
        <w:spacing w:line="576" w:lineRule="auto"/>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Due date</w:t>
      </w:r>
    </w:p>
    <w:p w:rsidR="00D4196A" w:rsidRPr="00EC2D80" w:rsidRDefault="00E311BF">
      <w:pPr>
        <w:pStyle w:val="normal0"/>
        <w:spacing w:line="576" w:lineRule="auto"/>
        <w:ind w:firstLine="720"/>
        <w:jc w:val="center"/>
        <w:rPr>
          <w:rFonts w:ascii="Times New Roman" w:eastAsia="Times New Roman" w:hAnsi="Times New Roman" w:cs="Times New Roman"/>
          <w:b/>
          <w:color w:val="2D2D2D"/>
          <w:sz w:val="24"/>
          <w:szCs w:val="24"/>
        </w:rPr>
      </w:pPr>
      <w:r w:rsidRPr="00EC2D80">
        <w:rPr>
          <w:rFonts w:ascii="Times New Roman" w:eastAsia="Times New Roman" w:hAnsi="Times New Roman" w:cs="Times New Roman"/>
          <w:b/>
          <w:color w:val="2D2D2D"/>
          <w:sz w:val="24"/>
          <w:szCs w:val="24"/>
        </w:rPr>
        <w:t>Human Resource Agenda for Achieving Saudi Arabia’s Vision 2030</w:t>
      </w:r>
    </w:p>
    <w:p w:rsidR="00D4196A" w:rsidRDefault="00E311BF">
      <w:pPr>
        <w:pStyle w:val="normal0"/>
        <w:spacing w:line="576" w:lineRule="auto"/>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Abstract</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Sustainability is entrenched on providing a common vision of progression towards a society of safe, just and sustainable society universally. The concept alludes to the urgent need for improvement of the quality of life through strategies that construct so</w:t>
      </w:r>
      <w:r>
        <w:rPr>
          <w:rFonts w:ascii="Times New Roman" w:eastAsia="Times New Roman" w:hAnsi="Times New Roman" w:cs="Times New Roman"/>
          <w:color w:val="2D2D2D"/>
          <w:sz w:val="24"/>
          <w:szCs w:val="24"/>
        </w:rPr>
        <w:t>cio-economic growth while also addressing a wider array of cross-cutting issues. A consensus exists agreeing that a more sustainable society is fruitful for all, but there is no apparent agreement on the meaning of sustainability and the necessary steps to</w:t>
      </w:r>
      <w:r>
        <w:rPr>
          <w:rFonts w:ascii="Times New Roman" w:eastAsia="Times New Roman" w:hAnsi="Times New Roman" w:cs="Times New Roman"/>
          <w:color w:val="2D2D2D"/>
          <w:sz w:val="24"/>
          <w:szCs w:val="24"/>
        </w:rPr>
        <w:t>wards achieving it. Sustainability is often mentioned around national and international discourses and has peered into various contexts and disciplines. It has been mentioned in form of terms that include sustainable society, sustainable development, and e</w:t>
      </w:r>
      <w:r>
        <w:rPr>
          <w:rFonts w:ascii="Times New Roman" w:eastAsia="Times New Roman" w:hAnsi="Times New Roman" w:cs="Times New Roman"/>
          <w:color w:val="2D2D2D"/>
          <w:sz w:val="24"/>
          <w:szCs w:val="24"/>
        </w:rPr>
        <w:t>conomic, ecological and urban sustainability among others. These wide-ranging applications, contextually, of the concept to give rise to a challenge in the attainment of a universal definition of term sustainability. Nonetheless, the general interpretation</w:t>
      </w:r>
      <w:r>
        <w:rPr>
          <w:rFonts w:ascii="Times New Roman" w:eastAsia="Times New Roman" w:hAnsi="Times New Roman" w:cs="Times New Roman"/>
          <w:color w:val="2D2D2D"/>
          <w:sz w:val="24"/>
          <w:szCs w:val="24"/>
        </w:rPr>
        <w:t xml:space="preserve"> connotes positive socio-economic and biophysical changes that satisfy all people’s needs without tending to undermine the natural systems upon which living depends or barring the opportunities availed </w:t>
      </w:r>
      <w:r>
        <w:rPr>
          <w:rFonts w:ascii="Times New Roman" w:eastAsia="Times New Roman" w:hAnsi="Times New Roman" w:cs="Times New Roman"/>
          <w:color w:val="2D2D2D"/>
          <w:sz w:val="24"/>
          <w:szCs w:val="24"/>
        </w:rPr>
        <w:lastRenderedPageBreak/>
        <w:t>to later generations. This essay purports to investiga</w:t>
      </w:r>
      <w:r>
        <w:rPr>
          <w:rFonts w:ascii="Times New Roman" w:eastAsia="Times New Roman" w:hAnsi="Times New Roman" w:cs="Times New Roman"/>
          <w:color w:val="2D2D2D"/>
          <w:sz w:val="24"/>
          <w:szCs w:val="24"/>
        </w:rPr>
        <w:t>te the way in which Saudi Arabia can achieve the socio-economic level of sustainability as dictated by human resource scholars.</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Sustainable development has been a universal challenge despite the universal progress in other spheres of life. For instance, pe</w:t>
      </w:r>
      <w:r>
        <w:rPr>
          <w:rFonts w:ascii="Times New Roman" w:eastAsia="Times New Roman" w:hAnsi="Times New Roman" w:cs="Times New Roman"/>
          <w:color w:val="2D2D2D"/>
          <w:sz w:val="24"/>
          <w:szCs w:val="24"/>
        </w:rPr>
        <w:t>ople in low-income countries face the challenge of deprivation and poverty, inequalities across various areas including human resources, the disparity in wealth, power and opportunity. The adoption of the Millennium Development Goals brought about signific</w:t>
      </w:r>
      <w:r>
        <w:rPr>
          <w:rFonts w:ascii="Times New Roman" w:eastAsia="Times New Roman" w:hAnsi="Times New Roman" w:cs="Times New Roman"/>
          <w:color w:val="2D2D2D"/>
          <w:sz w:val="24"/>
          <w:szCs w:val="24"/>
        </w:rPr>
        <w:t>ant strides in a variety of areas. However, there is imbalance whereby achievements have been unevenly distributed in terms of countries and within regions. The Sustainable Development Goals are a set of goals setting the direction for the completion and r</w:t>
      </w:r>
      <w:r>
        <w:rPr>
          <w:rFonts w:ascii="Times New Roman" w:eastAsia="Times New Roman" w:hAnsi="Times New Roman" w:cs="Times New Roman"/>
          <w:color w:val="2D2D2D"/>
          <w:sz w:val="24"/>
          <w:szCs w:val="24"/>
        </w:rPr>
        <w:t>einforcement of achievements outlined in the MDGs. Some of the key areas of concern are the systemic barriers to the achievement of sustainable development, representing a commitment towards the realization of MDGs and providing focus on scaled-up assistan</w:t>
      </w:r>
      <w:r>
        <w:rPr>
          <w:rFonts w:ascii="Times New Roman" w:eastAsia="Times New Roman" w:hAnsi="Times New Roman" w:cs="Times New Roman"/>
          <w:color w:val="2D2D2D"/>
          <w:sz w:val="24"/>
          <w:szCs w:val="24"/>
        </w:rPr>
        <w:t>ce nations in dire need of assistance. The benefits realizable from a global level effort towards the attainment of sustainable development are obvious. Moreover, the pursuit of coordinated actions and strategic actions at the local, national and internati</w:t>
      </w:r>
      <w:r>
        <w:rPr>
          <w:rFonts w:ascii="Times New Roman" w:eastAsia="Times New Roman" w:hAnsi="Times New Roman" w:cs="Times New Roman"/>
          <w:color w:val="2D2D2D"/>
          <w:sz w:val="24"/>
          <w:szCs w:val="24"/>
        </w:rPr>
        <w:t>onal levels meets various challenges. There are many entrenched values that compete with it and prompt a reconciliation of the environmental and social responsibility with that of the economic growth. These outline the advantages of policy coherence throug</w:t>
      </w:r>
      <w:r>
        <w:rPr>
          <w:rFonts w:ascii="Times New Roman" w:eastAsia="Times New Roman" w:hAnsi="Times New Roman" w:cs="Times New Roman"/>
          <w:color w:val="2D2D2D"/>
          <w:sz w:val="24"/>
          <w:szCs w:val="24"/>
        </w:rPr>
        <w:t>h intense coordination and decentralization.</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 xml:space="preserve">At the state level, nations are distinguished by the particular challenges they face in the achievement of sustainable development. As a result, arguably, the most important parts of SDGs </w:t>
      </w:r>
      <w:r>
        <w:rPr>
          <w:rFonts w:ascii="Times New Roman" w:eastAsia="Times New Roman" w:hAnsi="Times New Roman" w:cs="Times New Roman"/>
          <w:color w:val="2D2D2D"/>
          <w:sz w:val="24"/>
          <w:szCs w:val="24"/>
        </w:rPr>
        <w:lastRenderedPageBreak/>
        <w:t>framework lies in the e</w:t>
      </w:r>
      <w:r>
        <w:rPr>
          <w:rFonts w:ascii="Times New Roman" w:eastAsia="Times New Roman" w:hAnsi="Times New Roman" w:cs="Times New Roman"/>
          <w:color w:val="2D2D2D"/>
          <w:sz w:val="24"/>
          <w:szCs w:val="24"/>
        </w:rPr>
        <w:t xml:space="preserve">lement that states are permitted the sovereignty over all their wealth, economic activities and natural resources (Fox and </w:t>
      </w:r>
      <w:proofErr w:type="spellStart"/>
      <w:r>
        <w:rPr>
          <w:rFonts w:ascii="Times New Roman" w:eastAsia="Times New Roman" w:hAnsi="Times New Roman" w:cs="Times New Roman"/>
          <w:color w:val="2D2D2D"/>
          <w:sz w:val="24"/>
          <w:szCs w:val="24"/>
        </w:rPr>
        <w:t>Goodfellow</w:t>
      </w:r>
      <w:proofErr w:type="spellEnd"/>
      <w:r>
        <w:rPr>
          <w:rFonts w:ascii="Times New Roman" w:eastAsia="Times New Roman" w:hAnsi="Times New Roman" w:cs="Times New Roman"/>
          <w:color w:val="2D2D2D"/>
          <w:sz w:val="24"/>
          <w:szCs w:val="24"/>
        </w:rPr>
        <w:t>, 89). They also have flexibility in the implementation of their specific targets and goals inconsistency with the rights a</w:t>
      </w:r>
      <w:r>
        <w:rPr>
          <w:rFonts w:ascii="Times New Roman" w:eastAsia="Times New Roman" w:hAnsi="Times New Roman" w:cs="Times New Roman"/>
          <w:color w:val="2D2D2D"/>
          <w:sz w:val="24"/>
          <w:szCs w:val="24"/>
        </w:rPr>
        <w:t>nd obligations of nations under the international law. Saudi Arabia faces many developmental challenges including expanding the population, high unemployment rates, sprawling cities and hasty urbanization. The government of Saudi Arabia has developed the V</w:t>
      </w:r>
      <w:r>
        <w:rPr>
          <w:rFonts w:ascii="Times New Roman" w:eastAsia="Times New Roman" w:hAnsi="Times New Roman" w:cs="Times New Roman"/>
          <w:color w:val="2D2D2D"/>
          <w:sz w:val="24"/>
          <w:szCs w:val="24"/>
        </w:rPr>
        <w:t xml:space="preserve">ision 2030 alongside the National Transformation Program (NTP) as part of efforts to put the nation on sustainable economic growth and development path.   </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These two strategic plans offer a platform that sets far-reaching goals and objectives that aim at t</w:t>
      </w:r>
      <w:r>
        <w:rPr>
          <w:rFonts w:ascii="Times New Roman" w:eastAsia="Times New Roman" w:hAnsi="Times New Roman" w:cs="Times New Roman"/>
          <w:color w:val="2D2D2D"/>
          <w:sz w:val="24"/>
          <w:szCs w:val="24"/>
        </w:rPr>
        <w:t xml:space="preserve">ransforming the country to a diverse and sustainable economy that is pivotal to international trade. However, the degree to which the vision is systematically congruent systematically with the sustainability principles is a field that has been unexplored. </w:t>
      </w:r>
      <w:r>
        <w:rPr>
          <w:rFonts w:ascii="Times New Roman" w:eastAsia="Times New Roman" w:hAnsi="Times New Roman" w:cs="Times New Roman"/>
          <w:color w:val="2D2D2D"/>
          <w:sz w:val="24"/>
          <w:szCs w:val="24"/>
        </w:rPr>
        <w:t>Consequently, this study is a contemporary attempt to evaluate the level to which both the NTP and the vision texts are a reflection of the imperative measures and principles towards achieving sustainability. The Sustainable Society Index (SSI) is a develo</w:t>
      </w:r>
      <w:r>
        <w:rPr>
          <w:rFonts w:ascii="Times New Roman" w:eastAsia="Times New Roman" w:hAnsi="Times New Roman" w:cs="Times New Roman"/>
          <w:color w:val="2D2D2D"/>
          <w:sz w:val="24"/>
          <w:szCs w:val="24"/>
        </w:rPr>
        <w:t>pment by the Sustainable Society Foundation and is usually employed to weigh the sensitivity of a state’s Vision 2030 and the NTP of Saudi Arabia towards achieving the level of sustainability. By using SSI as the primary assessment framework, it creates in</w:t>
      </w:r>
      <w:r>
        <w:rPr>
          <w:rFonts w:ascii="Times New Roman" w:eastAsia="Times New Roman" w:hAnsi="Times New Roman" w:cs="Times New Roman"/>
          <w:color w:val="2D2D2D"/>
          <w:sz w:val="24"/>
          <w:szCs w:val="24"/>
        </w:rPr>
        <w:t xml:space="preserve">centives owing to the fact that the fact it blends an array of economic, social and environmental factors, all of which play an important role in the multi-dimensional understanding of the concept of sustainability (Hall and </w:t>
      </w:r>
      <w:proofErr w:type="spellStart"/>
      <w:r>
        <w:rPr>
          <w:rFonts w:ascii="Times New Roman" w:eastAsia="Times New Roman" w:hAnsi="Times New Roman" w:cs="Times New Roman"/>
          <w:color w:val="2D2D2D"/>
          <w:sz w:val="24"/>
          <w:szCs w:val="24"/>
        </w:rPr>
        <w:t>Midgley</w:t>
      </w:r>
      <w:proofErr w:type="spellEnd"/>
      <w:r>
        <w:rPr>
          <w:rFonts w:ascii="Times New Roman" w:eastAsia="Times New Roman" w:hAnsi="Times New Roman" w:cs="Times New Roman"/>
          <w:color w:val="2D2D2D"/>
          <w:sz w:val="24"/>
          <w:szCs w:val="24"/>
        </w:rPr>
        <w:t xml:space="preserve">, 178). Since 2006, </w:t>
      </w:r>
      <w:r>
        <w:rPr>
          <w:rFonts w:ascii="Times New Roman" w:eastAsia="Times New Roman" w:hAnsi="Times New Roman" w:cs="Times New Roman"/>
          <w:color w:val="2D2D2D"/>
          <w:sz w:val="24"/>
          <w:szCs w:val="24"/>
        </w:rPr>
        <w:lastRenderedPageBreak/>
        <w:t>it h</w:t>
      </w:r>
      <w:r>
        <w:rPr>
          <w:rFonts w:ascii="Times New Roman" w:eastAsia="Times New Roman" w:hAnsi="Times New Roman" w:cs="Times New Roman"/>
          <w:color w:val="2D2D2D"/>
          <w:sz w:val="24"/>
          <w:szCs w:val="24"/>
        </w:rPr>
        <w:t xml:space="preserve">as undergone refinement in its methodologies that have resulted in the development of certain of measures that are not only statistically but also conceptually sound. This has also been used exhaustively as an instrument for benchmarking in the assessment </w:t>
      </w:r>
      <w:r>
        <w:rPr>
          <w:rFonts w:ascii="Times New Roman" w:eastAsia="Times New Roman" w:hAnsi="Times New Roman" w:cs="Times New Roman"/>
          <w:color w:val="2D2D2D"/>
          <w:sz w:val="24"/>
          <w:szCs w:val="24"/>
        </w:rPr>
        <w:t>of the level of national sustainability.</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Saudi Arabia's inspirational chain of dreams is contained in the Saudi Arabia’s Vision for 2030, and it extends a blueprint of long-term objectives and expectations, which are deeply rooted in a target capability fr</w:t>
      </w:r>
      <w:r>
        <w:rPr>
          <w:rFonts w:ascii="Times New Roman" w:eastAsia="Times New Roman" w:hAnsi="Times New Roman" w:cs="Times New Roman"/>
          <w:color w:val="2D2D2D"/>
          <w:sz w:val="24"/>
          <w:szCs w:val="24"/>
        </w:rPr>
        <w:t>amework that dictates a list of unique and collective efforts that attempts to achieve specific outcomes. Essentially, Saudi Arabia’s Vision 2030 reinvents itself through focusing and counting on some particular and unique strongholds also referred to as t</w:t>
      </w:r>
      <w:r>
        <w:rPr>
          <w:rFonts w:ascii="Times New Roman" w:eastAsia="Times New Roman" w:hAnsi="Times New Roman" w:cs="Times New Roman"/>
          <w:color w:val="2D2D2D"/>
          <w:sz w:val="24"/>
          <w:szCs w:val="24"/>
        </w:rPr>
        <w:t xml:space="preserve">he three strong pillars. These pillars are a flourishing economy, a vivacious society, and an aspiring country. In order to achieve these, the country is taking the broader step that attempts to transform the current business model and style of leadership </w:t>
      </w:r>
      <w:r>
        <w:rPr>
          <w:rFonts w:ascii="Times New Roman" w:eastAsia="Times New Roman" w:hAnsi="Times New Roman" w:cs="Times New Roman"/>
          <w:color w:val="2D2D2D"/>
          <w:sz w:val="24"/>
          <w:szCs w:val="24"/>
        </w:rPr>
        <w:t>that is oriented towards a strategy that is 3-pillared, starting with a rampant economic status, vibrant society and surmounting the approach across the national boundaries. In the context of Saudi Arabia's vision 2030. The human resource fraternity in the</w:t>
      </w:r>
      <w:r>
        <w:rPr>
          <w:rFonts w:ascii="Times New Roman" w:eastAsia="Times New Roman" w:hAnsi="Times New Roman" w:cs="Times New Roman"/>
          <w:color w:val="2D2D2D"/>
          <w:sz w:val="24"/>
          <w:szCs w:val="24"/>
        </w:rPr>
        <w:t xml:space="preserve"> Kingdom ought to initiate progressive steps to guide the leadership while providing essential guidance in the facilitation of organizational transformation.</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Despite the fact that oil is the backbone of Saudi Arabia’s economy, the authority considers the n</w:t>
      </w:r>
      <w:r>
        <w:rPr>
          <w:rFonts w:ascii="Times New Roman" w:eastAsia="Times New Roman" w:hAnsi="Times New Roman" w:cs="Times New Roman"/>
          <w:color w:val="2D2D2D"/>
          <w:sz w:val="24"/>
          <w:szCs w:val="24"/>
        </w:rPr>
        <w:t>ation’s actual wealth to lie in the determination of managing the human resources and the potentialities of the region’s younger generation. This strategy, through Vision 2030, aspires for a robust, prosperous and steady economy, which will provide unlimit</w:t>
      </w:r>
      <w:r>
        <w:rPr>
          <w:rFonts w:ascii="Times New Roman" w:eastAsia="Times New Roman" w:hAnsi="Times New Roman" w:cs="Times New Roman"/>
          <w:color w:val="2D2D2D"/>
          <w:sz w:val="24"/>
          <w:szCs w:val="24"/>
        </w:rPr>
        <w:t xml:space="preserve">ed equal </w:t>
      </w:r>
      <w:r>
        <w:rPr>
          <w:rFonts w:ascii="Times New Roman" w:eastAsia="Times New Roman" w:hAnsi="Times New Roman" w:cs="Times New Roman"/>
          <w:color w:val="2D2D2D"/>
          <w:sz w:val="24"/>
          <w:szCs w:val="24"/>
        </w:rPr>
        <w:lastRenderedPageBreak/>
        <w:t>opportunities to the citizens, one that is able to empower the private sector player by providing better opportunities for continual partnerships, while driving healthier employment for all and ensuring the long-term prosperity of the country. Sau</w:t>
      </w:r>
      <w:r>
        <w:rPr>
          <w:rFonts w:ascii="Times New Roman" w:eastAsia="Times New Roman" w:hAnsi="Times New Roman" w:cs="Times New Roman"/>
          <w:color w:val="2D2D2D"/>
          <w:sz w:val="24"/>
          <w:szCs w:val="24"/>
        </w:rPr>
        <w:t>di Arabia’s strategic vision is organized into three main pillars. Each of these thematic elements is further subdivided into a variety of goals and objectives that are the expectations of achievement by the end of the year 2030. These pillars are the basi</w:t>
      </w:r>
      <w:r>
        <w:rPr>
          <w:rFonts w:ascii="Times New Roman" w:eastAsia="Times New Roman" w:hAnsi="Times New Roman" w:cs="Times New Roman"/>
          <w:color w:val="2D2D2D"/>
          <w:sz w:val="24"/>
          <w:szCs w:val="24"/>
        </w:rPr>
        <w:t>s by which the country aims to emerge as a global investment powerhouse and aspires to capitalize on the capabilities of investment to stimulate the economic growth through the diversification of its revenues.</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ab/>
        <w:t>In the theme pertaining to a Vibrant Society,</w:t>
      </w:r>
      <w:r>
        <w:rPr>
          <w:rFonts w:ascii="Times New Roman" w:eastAsia="Times New Roman" w:hAnsi="Times New Roman" w:cs="Times New Roman"/>
          <w:color w:val="2D2D2D"/>
          <w:sz w:val="24"/>
          <w:szCs w:val="24"/>
        </w:rPr>
        <w:t xml:space="preserve"> the Saudi government considers strengthening, preserving and highlighting the country’s unique historical and cultural heritage over generations a priority. Towards achieving this end, the nation is committed to cumulating the number of heritage sites in </w:t>
      </w:r>
      <w:r>
        <w:rPr>
          <w:rFonts w:ascii="Times New Roman" w:eastAsia="Times New Roman" w:hAnsi="Times New Roman" w:cs="Times New Roman"/>
          <w:color w:val="2D2D2D"/>
          <w:sz w:val="24"/>
          <w:szCs w:val="24"/>
        </w:rPr>
        <w:t>Saudi Arabia under-recognition by the United Nations Educational, Scientific and Cultural Organization (UNESCO) building cultural sites and museums. The country also aims to pursue investments in entertainment opportunities and cultural spots, with an expe</w:t>
      </w:r>
      <w:r>
        <w:rPr>
          <w:rFonts w:ascii="Times New Roman" w:eastAsia="Times New Roman" w:hAnsi="Times New Roman" w:cs="Times New Roman"/>
          <w:color w:val="2D2D2D"/>
          <w:sz w:val="24"/>
          <w:szCs w:val="24"/>
        </w:rPr>
        <w:t>ctation of the construed number of individuals practicing at least once weekly that it will rise from about 13% to 40%. Additionally, the shrewdness of expenditure on household’s cultural and entertainment forecasted to rise from 3% to 6% by the year 2030.</w:t>
      </w:r>
    </w:p>
    <w:p w:rsidR="00D4196A" w:rsidRDefault="00E311BF">
      <w:pPr>
        <w:pStyle w:val="normal0"/>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The impacts of crime on society have also garnered the interest of wide literary scholarships, thus representing an imperative priority in Saudi Arabia’s Vision 2030. Often, crime lays a burden on the economy through the creation of uncertainties and inef</w:t>
      </w:r>
      <w:r>
        <w:rPr>
          <w:rFonts w:ascii="Times New Roman" w:eastAsia="Times New Roman" w:hAnsi="Times New Roman" w:cs="Times New Roman"/>
          <w:color w:val="2D2D2D"/>
          <w:sz w:val="24"/>
          <w:szCs w:val="24"/>
        </w:rPr>
        <w:t xml:space="preserve">ficiencies, </w:t>
      </w:r>
      <w:r>
        <w:rPr>
          <w:rFonts w:ascii="Times New Roman" w:eastAsia="Times New Roman" w:hAnsi="Times New Roman" w:cs="Times New Roman"/>
          <w:color w:val="2D2D2D"/>
          <w:sz w:val="24"/>
          <w:szCs w:val="24"/>
        </w:rPr>
        <w:lastRenderedPageBreak/>
        <w:t xml:space="preserve">discouraging foreign and domestic investments, reducing the level of competitiveness between firms, and these impact factor accumulations. In order to maintain the current ranking of being one of the states with the safest cities in the world, </w:t>
      </w:r>
      <w:r>
        <w:rPr>
          <w:rFonts w:ascii="Times New Roman" w:eastAsia="Times New Roman" w:hAnsi="Times New Roman" w:cs="Times New Roman"/>
          <w:color w:val="2D2D2D"/>
          <w:sz w:val="24"/>
          <w:szCs w:val="24"/>
        </w:rPr>
        <w:t xml:space="preserve">standing at crime rates of less than 0.8 among 100,000 individuals and falling far below the </w:t>
      </w:r>
      <w:proofErr w:type="spellStart"/>
      <w:r>
        <w:rPr>
          <w:rFonts w:ascii="Times New Roman" w:eastAsia="Times New Roman" w:hAnsi="Times New Roman" w:cs="Times New Roman"/>
          <w:color w:val="2D2D2D"/>
          <w:sz w:val="24"/>
          <w:szCs w:val="24"/>
        </w:rPr>
        <w:t>recognised</w:t>
      </w:r>
      <w:proofErr w:type="spellEnd"/>
      <w:r>
        <w:rPr>
          <w:rFonts w:ascii="Times New Roman" w:eastAsia="Times New Roman" w:hAnsi="Times New Roman" w:cs="Times New Roman"/>
          <w:color w:val="2D2D2D"/>
          <w:sz w:val="24"/>
          <w:szCs w:val="24"/>
        </w:rPr>
        <w:t xml:space="preserve"> international average of 7.6 per 100,000 people, Saudi’s government should remain committed to providing support for the enduring efforts targeting drug</w:t>
      </w:r>
      <w:r>
        <w:rPr>
          <w:rFonts w:ascii="Times New Roman" w:eastAsia="Times New Roman" w:hAnsi="Times New Roman" w:cs="Times New Roman"/>
          <w:color w:val="2D2D2D"/>
          <w:sz w:val="24"/>
          <w:szCs w:val="24"/>
        </w:rPr>
        <w:t xml:space="preserve"> use, improvement of roads’ safety and the reduction of occurring accidents. These efforts cumulatively are </w:t>
      </w:r>
      <w:r w:rsidR="00EC2D80">
        <w:rPr>
          <w:rFonts w:ascii="Times New Roman" w:eastAsia="Times New Roman" w:hAnsi="Times New Roman" w:cs="Times New Roman"/>
          <w:color w:val="2D2D2D"/>
          <w:sz w:val="24"/>
          <w:szCs w:val="24"/>
        </w:rPr>
        <w:t>a necessity if at all the three Saudi cities is</w:t>
      </w:r>
      <w:r>
        <w:rPr>
          <w:rFonts w:ascii="Times New Roman" w:eastAsia="Times New Roman" w:hAnsi="Times New Roman" w:cs="Times New Roman"/>
          <w:color w:val="2D2D2D"/>
          <w:sz w:val="24"/>
          <w:szCs w:val="24"/>
        </w:rPr>
        <w:t xml:space="preserve"> to be included in the list of the world’s top 100 </w:t>
      </w:r>
      <w:proofErr w:type="spellStart"/>
      <w:r>
        <w:rPr>
          <w:rFonts w:ascii="Times New Roman" w:eastAsia="Times New Roman" w:hAnsi="Times New Roman" w:cs="Times New Roman"/>
          <w:color w:val="2D2D2D"/>
          <w:sz w:val="24"/>
          <w:szCs w:val="24"/>
        </w:rPr>
        <w:t>liveable</w:t>
      </w:r>
      <w:proofErr w:type="spellEnd"/>
      <w:r>
        <w:rPr>
          <w:rFonts w:ascii="Times New Roman" w:eastAsia="Times New Roman" w:hAnsi="Times New Roman" w:cs="Times New Roman"/>
          <w:color w:val="2D2D2D"/>
          <w:sz w:val="24"/>
          <w:szCs w:val="24"/>
        </w:rPr>
        <w:t xml:space="preserve"> cities (</w:t>
      </w:r>
      <w:proofErr w:type="spellStart"/>
      <w:r>
        <w:rPr>
          <w:rFonts w:ascii="Times New Roman" w:eastAsia="Times New Roman" w:hAnsi="Times New Roman" w:cs="Times New Roman"/>
          <w:color w:val="2D2D2D"/>
          <w:sz w:val="24"/>
          <w:szCs w:val="24"/>
        </w:rPr>
        <w:t>Dammer</w:t>
      </w:r>
      <w:proofErr w:type="spellEnd"/>
      <w:r>
        <w:rPr>
          <w:rFonts w:ascii="Times New Roman" w:eastAsia="Times New Roman" w:hAnsi="Times New Roman" w:cs="Times New Roman"/>
          <w:color w:val="2D2D2D"/>
          <w:sz w:val="24"/>
          <w:szCs w:val="24"/>
        </w:rPr>
        <w:t xml:space="preserve"> and </w:t>
      </w:r>
      <w:proofErr w:type="spellStart"/>
      <w:r>
        <w:rPr>
          <w:rFonts w:ascii="Times New Roman" w:eastAsia="Times New Roman" w:hAnsi="Times New Roman" w:cs="Times New Roman"/>
          <w:color w:val="2D2D2D"/>
          <w:sz w:val="24"/>
          <w:szCs w:val="24"/>
        </w:rPr>
        <w:t>Albanes</w:t>
      </w:r>
      <w:proofErr w:type="spellEnd"/>
      <w:r>
        <w:rPr>
          <w:rFonts w:ascii="Times New Roman" w:eastAsia="Times New Roman" w:hAnsi="Times New Roman" w:cs="Times New Roman"/>
          <w:color w:val="2D2D2D"/>
          <w:sz w:val="24"/>
          <w:szCs w:val="24"/>
        </w:rPr>
        <w:t>, 219). This w</w:t>
      </w:r>
      <w:r>
        <w:rPr>
          <w:rFonts w:ascii="Times New Roman" w:eastAsia="Times New Roman" w:hAnsi="Times New Roman" w:cs="Times New Roman"/>
          <w:color w:val="2D2D2D"/>
          <w:sz w:val="24"/>
          <w:szCs w:val="24"/>
        </w:rPr>
        <w:t xml:space="preserve">ill result in a boost in the efforts targeted towards the provision of quality services, including water, electricity, road infrastructure, and public transportation in order to satisfy the ever-increasing demands of the people in its major cities and the </w:t>
      </w:r>
      <w:r>
        <w:rPr>
          <w:rFonts w:ascii="Times New Roman" w:eastAsia="Times New Roman" w:hAnsi="Times New Roman" w:cs="Times New Roman"/>
          <w:color w:val="2D2D2D"/>
          <w:sz w:val="24"/>
          <w:szCs w:val="24"/>
        </w:rPr>
        <w:t>country at large. Public places, which include the open and landscaped zones, also ought to be enhanced through weighty investment in recreation.</w:t>
      </w:r>
    </w:p>
    <w:p w:rsidR="00D4196A" w:rsidRDefault="00E311BF">
      <w:pPr>
        <w:pStyle w:val="normal0"/>
        <w:pBdr>
          <w:bottom w:val="none" w:sz="0" w:space="10" w:color="auto"/>
        </w:pBdr>
        <w:spacing w:line="576" w:lineRule="auto"/>
        <w:ind w:firstLine="720"/>
        <w:jc w:val="both"/>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The KSA’s strategic vision sees the conservation of natural resources and environment as a moral and human obl</w:t>
      </w:r>
      <w:r>
        <w:rPr>
          <w:rFonts w:ascii="Times New Roman" w:eastAsia="Times New Roman" w:hAnsi="Times New Roman" w:cs="Times New Roman"/>
          <w:color w:val="2D2D2D"/>
          <w:sz w:val="24"/>
          <w:szCs w:val="24"/>
        </w:rPr>
        <w:t xml:space="preserve">igation. As a result, there will be additional funds for improved waste management, the creation of comprehensive recycling </w:t>
      </w:r>
      <w:proofErr w:type="spellStart"/>
      <w:r>
        <w:rPr>
          <w:rFonts w:ascii="Times New Roman" w:eastAsia="Times New Roman" w:hAnsi="Times New Roman" w:cs="Times New Roman"/>
          <w:color w:val="2D2D2D"/>
          <w:sz w:val="24"/>
          <w:szCs w:val="24"/>
        </w:rPr>
        <w:t>programmes</w:t>
      </w:r>
      <w:proofErr w:type="spellEnd"/>
      <w:r>
        <w:rPr>
          <w:rFonts w:ascii="Times New Roman" w:eastAsia="Times New Roman" w:hAnsi="Times New Roman" w:cs="Times New Roman"/>
          <w:color w:val="2D2D2D"/>
          <w:sz w:val="24"/>
          <w:szCs w:val="24"/>
        </w:rPr>
        <w:t>, and efforts to lower desertification and other forms of pollution. Optimum use of water resources would be enhanced thro</w:t>
      </w:r>
      <w:r>
        <w:rPr>
          <w:rFonts w:ascii="Times New Roman" w:eastAsia="Times New Roman" w:hAnsi="Times New Roman" w:cs="Times New Roman"/>
          <w:color w:val="2D2D2D"/>
          <w:sz w:val="24"/>
          <w:szCs w:val="24"/>
        </w:rPr>
        <w:t>ugh lesser consumption and the making use of treated and recyclable water. Natural reserves, beaches, and islands would be protected, rehabilitated and conserved to make them available to everybody. In terms of residence, home ownership in the KSA nation i</w:t>
      </w:r>
      <w:r>
        <w:rPr>
          <w:rFonts w:ascii="Times New Roman" w:eastAsia="Times New Roman" w:hAnsi="Times New Roman" w:cs="Times New Roman"/>
          <w:color w:val="2D2D2D"/>
          <w:sz w:val="24"/>
          <w:szCs w:val="24"/>
        </w:rPr>
        <w:t xml:space="preserve">s expected to rise from </w:t>
      </w:r>
      <w:r>
        <w:rPr>
          <w:rFonts w:ascii="Times New Roman" w:eastAsia="Times New Roman" w:hAnsi="Times New Roman" w:cs="Times New Roman"/>
          <w:color w:val="2D2D2D"/>
          <w:sz w:val="24"/>
          <w:szCs w:val="24"/>
        </w:rPr>
        <w:lastRenderedPageBreak/>
        <w:t xml:space="preserve">47% to over 50% by the year 2020. Given the increasing housing crisis and the rising number of new tenants into the housing market, this would be a great step but requires the establishment and modification of rules and regulations </w:t>
      </w:r>
      <w:r>
        <w:rPr>
          <w:rFonts w:ascii="Times New Roman" w:eastAsia="Times New Roman" w:hAnsi="Times New Roman" w:cs="Times New Roman"/>
          <w:color w:val="2D2D2D"/>
          <w:sz w:val="24"/>
          <w:szCs w:val="24"/>
        </w:rPr>
        <w:t>that increase private sector confidence to majorly participate in the construction of housing facilities and make available adequate financing, ownership and mortgage solutions schemes. The social benefits system would also be improved to make it more effi</w:t>
      </w:r>
      <w:r>
        <w:rPr>
          <w:rFonts w:ascii="Times New Roman" w:eastAsia="Times New Roman" w:hAnsi="Times New Roman" w:cs="Times New Roman"/>
          <w:color w:val="2D2D2D"/>
          <w:sz w:val="24"/>
          <w:szCs w:val="24"/>
        </w:rPr>
        <w:t>cient, empowering, and just. Subsidies for food, fuel, water, and electricity will be given to the poor and the less privileged residents. In the healthcare sector, there would be improved optimization and utilization of the hospital and healthcare centers</w:t>
      </w:r>
      <w:r>
        <w:rPr>
          <w:rFonts w:ascii="Times New Roman" w:eastAsia="Times New Roman" w:hAnsi="Times New Roman" w:cs="Times New Roman"/>
          <w:color w:val="2D2D2D"/>
          <w:sz w:val="24"/>
          <w:szCs w:val="24"/>
        </w:rPr>
        <w:t xml:space="preserve"> through among others, improvement in the quality of therapeutic and preventive health care services and capacity building for medical professionals. Countries that have an expanded economic structure are stronger to external shocks (</w:t>
      </w:r>
      <w:proofErr w:type="spellStart"/>
      <w:r>
        <w:rPr>
          <w:rFonts w:ascii="Times New Roman" w:eastAsia="Times New Roman" w:hAnsi="Times New Roman" w:cs="Times New Roman"/>
          <w:color w:val="2D2D2D"/>
          <w:sz w:val="24"/>
          <w:szCs w:val="24"/>
        </w:rPr>
        <w:t>Frenken</w:t>
      </w:r>
      <w:proofErr w:type="spellEnd"/>
      <w:r>
        <w:rPr>
          <w:rFonts w:ascii="Times New Roman" w:eastAsia="Times New Roman" w:hAnsi="Times New Roman" w:cs="Times New Roman"/>
          <w:color w:val="2D2D2D"/>
          <w:sz w:val="24"/>
          <w:szCs w:val="24"/>
        </w:rPr>
        <w:t xml:space="preserve"> Et al, </w:t>
      </w:r>
      <w:r w:rsidR="00EC2D80">
        <w:rPr>
          <w:rFonts w:ascii="Times New Roman" w:eastAsia="Times New Roman" w:hAnsi="Times New Roman" w:cs="Times New Roman"/>
          <w:color w:val="2D2D2D"/>
          <w:sz w:val="24"/>
          <w:szCs w:val="24"/>
        </w:rPr>
        <w:t>685)</w:t>
      </w:r>
      <w:r>
        <w:rPr>
          <w:rFonts w:ascii="Times New Roman" w:eastAsia="Times New Roman" w:hAnsi="Times New Roman" w:cs="Times New Roman"/>
          <w:color w:val="2D2D2D"/>
          <w:sz w:val="24"/>
          <w:szCs w:val="24"/>
        </w:rPr>
        <w:t xml:space="preserve">. </w:t>
      </w:r>
      <w:r>
        <w:rPr>
          <w:rFonts w:ascii="Times New Roman" w:eastAsia="Times New Roman" w:hAnsi="Times New Roman" w:cs="Times New Roman"/>
          <w:color w:val="2D2D2D"/>
          <w:sz w:val="24"/>
          <w:szCs w:val="24"/>
        </w:rPr>
        <w:t>During the global economic recession of 2008/2009, countries with more varied exports weathered better international trade shocks. In continents with higher export concentration balance such as Africa and the Middle East, the loss in export revenues in tha</w:t>
      </w:r>
      <w:r>
        <w:rPr>
          <w:rFonts w:ascii="Times New Roman" w:eastAsia="Times New Roman" w:hAnsi="Times New Roman" w:cs="Times New Roman"/>
          <w:color w:val="2D2D2D"/>
          <w:sz w:val="24"/>
          <w:szCs w:val="24"/>
        </w:rPr>
        <w:t xml:space="preserve">t period amounted to close to 30 %. Oil prices are unlikely to exhibit considerable growth going </w:t>
      </w:r>
      <w:r w:rsidR="00EC2D80">
        <w:rPr>
          <w:rFonts w:ascii="Times New Roman" w:eastAsia="Times New Roman" w:hAnsi="Times New Roman" w:cs="Times New Roman"/>
          <w:color w:val="2D2D2D"/>
          <w:sz w:val="24"/>
          <w:szCs w:val="24"/>
        </w:rPr>
        <w:t>forward;</w:t>
      </w:r>
      <w:r>
        <w:rPr>
          <w:rFonts w:ascii="Times New Roman" w:eastAsia="Times New Roman" w:hAnsi="Times New Roman" w:cs="Times New Roman"/>
          <w:color w:val="2D2D2D"/>
          <w:sz w:val="24"/>
          <w:szCs w:val="24"/>
        </w:rPr>
        <w:t xml:space="preserve"> therefore, there has been a need for economic diversification in the kingdom of Saudi Arabia. An increased diversification of resources will more like</w:t>
      </w:r>
      <w:r>
        <w:rPr>
          <w:rFonts w:ascii="Times New Roman" w:eastAsia="Times New Roman" w:hAnsi="Times New Roman" w:cs="Times New Roman"/>
          <w:color w:val="2D2D2D"/>
          <w:sz w:val="24"/>
          <w:szCs w:val="24"/>
        </w:rPr>
        <w:t>ly lead to vulnerability, uncertainty, and volatility in the world oil market, increase sustainable development and productivity, help alleviate private sector jobs, and establish the non-oil economy that will be required in the future when incomes from oi</w:t>
      </w:r>
      <w:r>
        <w:rPr>
          <w:rFonts w:ascii="Times New Roman" w:eastAsia="Times New Roman" w:hAnsi="Times New Roman" w:cs="Times New Roman"/>
          <w:color w:val="2D2D2D"/>
          <w:sz w:val="24"/>
          <w:szCs w:val="24"/>
        </w:rPr>
        <w:t>l start to decrease.</w:t>
      </w:r>
    </w:p>
    <w:p w:rsidR="00D4196A" w:rsidRDefault="00E311BF">
      <w:pPr>
        <w:pStyle w:val="normal0"/>
        <w:spacing w:line="576" w:lineRule="auto"/>
        <w:ind w:firstLine="720"/>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lastRenderedPageBreak/>
        <w:t>The need to create an economy that is diversified, resilient and sustainable is a major priority of KSA’s vision 2030. Other key sectors to improve beyond gas and oil include defense, manufacturing, tourism, technology, and mining. The</w:t>
      </w:r>
      <w:r>
        <w:rPr>
          <w:rFonts w:ascii="Times New Roman" w:eastAsia="Times New Roman" w:hAnsi="Times New Roman" w:cs="Times New Roman"/>
          <w:color w:val="2D2D2D"/>
          <w:sz w:val="24"/>
          <w:szCs w:val="24"/>
        </w:rPr>
        <w:t xml:space="preserve"> Saudi Arabia’s government is also </w:t>
      </w:r>
      <w:proofErr w:type="spellStart"/>
      <w:r>
        <w:rPr>
          <w:rFonts w:ascii="Times New Roman" w:eastAsia="Times New Roman" w:hAnsi="Times New Roman" w:cs="Times New Roman"/>
          <w:color w:val="2D2D2D"/>
          <w:sz w:val="24"/>
          <w:szCs w:val="24"/>
        </w:rPr>
        <w:t>focussed</w:t>
      </w:r>
      <w:proofErr w:type="spellEnd"/>
      <w:r>
        <w:rPr>
          <w:rFonts w:ascii="Times New Roman" w:eastAsia="Times New Roman" w:hAnsi="Times New Roman" w:cs="Times New Roman"/>
          <w:color w:val="2D2D2D"/>
          <w:sz w:val="24"/>
          <w:szCs w:val="24"/>
        </w:rPr>
        <w:t xml:space="preserve"> on increasing the non-oil exports share from 16% to 50% in GDP, localize the gas and oil sectors from 40% to over 70%, </w:t>
      </w:r>
      <w:r w:rsidR="00EC2D80">
        <w:rPr>
          <w:rFonts w:ascii="Times New Roman" w:eastAsia="Times New Roman" w:hAnsi="Times New Roman" w:cs="Times New Roman"/>
          <w:color w:val="2D2D2D"/>
          <w:sz w:val="24"/>
          <w:szCs w:val="24"/>
        </w:rPr>
        <w:t>and increase</w:t>
      </w:r>
      <w:r>
        <w:rPr>
          <w:rFonts w:ascii="Times New Roman" w:eastAsia="Times New Roman" w:hAnsi="Times New Roman" w:cs="Times New Roman"/>
          <w:color w:val="2D2D2D"/>
          <w:sz w:val="24"/>
          <w:szCs w:val="24"/>
        </w:rPr>
        <w:t xml:space="preserve"> the funds for Public Investment to over SAR 7 trillion compared to the current SAR 6</w:t>
      </w:r>
      <w:r>
        <w:rPr>
          <w:rFonts w:ascii="Times New Roman" w:eastAsia="Times New Roman" w:hAnsi="Times New Roman" w:cs="Times New Roman"/>
          <w:color w:val="2D2D2D"/>
          <w:sz w:val="24"/>
          <w:szCs w:val="24"/>
        </w:rPr>
        <w:t>00 billion. This is anticipated to consequently place the nation among the top 15 states in the world in terms of economic development. Moreover, the comparative advantages of the nation’s various regions will be evaluated and developed into particular pro</w:t>
      </w:r>
      <w:r>
        <w:rPr>
          <w:rFonts w:ascii="Times New Roman" w:eastAsia="Times New Roman" w:hAnsi="Times New Roman" w:cs="Times New Roman"/>
          <w:color w:val="2D2D2D"/>
          <w:sz w:val="24"/>
          <w:szCs w:val="24"/>
        </w:rPr>
        <w:t>duction zones such as industrial, logistics, financial, and tourism zones. If well distributed, these particular zones are expected to decrease the present regional growth and development differences. There will be efforts to localize the industrial equipm</w:t>
      </w:r>
      <w:r>
        <w:rPr>
          <w:rFonts w:ascii="Times New Roman" w:eastAsia="Times New Roman" w:hAnsi="Times New Roman" w:cs="Times New Roman"/>
          <w:color w:val="2D2D2D"/>
          <w:sz w:val="24"/>
          <w:szCs w:val="24"/>
        </w:rPr>
        <w:t>ent and renewable energy sectors, improve the leisure and tourism industry, add funding in the digital sector, and extend incentives for mining explorations.</w:t>
      </w:r>
    </w:p>
    <w:p w:rsidR="00D4196A" w:rsidRDefault="00E311BF">
      <w:pPr>
        <w:pStyle w:val="normal0"/>
        <w:spacing w:line="576" w:lineRule="auto"/>
        <w:ind w:firstLine="720"/>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The vision 2030, long-term collaborations for knowledge and skills transfers and trade with variou</w:t>
      </w:r>
      <w:r>
        <w:rPr>
          <w:rFonts w:ascii="Times New Roman" w:eastAsia="Times New Roman" w:hAnsi="Times New Roman" w:cs="Times New Roman"/>
          <w:color w:val="2D2D2D"/>
          <w:sz w:val="24"/>
          <w:szCs w:val="24"/>
        </w:rPr>
        <w:t xml:space="preserve">s countries around the globe would be encouraged. The human resource department is also committed to building a vigorous workforce through notable investments in the training and education of men and women of the young age group. The Saudi government also </w:t>
      </w:r>
      <w:r>
        <w:rPr>
          <w:rFonts w:ascii="Times New Roman" w:eastAsia="Times New Roman" w:hAnsi="Times New Roman" w:cs="Times New Roman"/>
          <w:color w:val="2D2D2D"/>
          <w:sz w:val="24"/>
          <w:szCs w:val="24"/>
        </w:rPr>
        <w:t>recognizes the SMEs (small and medium-sized enterprises) as vital catalysts of economic growth as they increase exports, encourage innovation, and create jobs. By the end of 2030, the unemployment rate is expected to decline from 11.6% to about 7% and wome</w:t>
      </w:r>
      <w:r>
        <w:rPr>
          <w:rFonts w:ascii="Times New Roman" w:eastAsia="Times New Roman" w:hAnsi="Times New Roman" w:cs="Times New Roman"/>
          <w:color w:val="2D2D2D"/>
          <w:sz w:val="24"/>
          <w:szCs w:val="24"/>
        </w:rPr>
        <w:t xml:space="preserve">n involved in the workforce is </w:t>
      </w:r>
      <w:r>
        <w:rPr>
          <w:rFonts w:ascii="Times New Roman" w:eastAsia="Times New Roman" w:hAnsi="Times New Roman" w:cs="Times New Roman"/>
          <w:color w:val="2D2D2D"/>
          <w:sz w:val="24"/>
          <w:szCs w:val="24"/>
        </w:rPr>
        <w:lastRenderedPageBreak/>
        <w:t xml:space="preserve">expected to rise to 30% compared to the current 22%. Rules and regulations would be made variable in order to increase interests in SME sectors, privatization, and investments in new businesses. </w:t>
      </w:r>
      <w:proofErr w:type="gramStart"/>
      <w:r>
        <w:rPr>
          <w:rFonts w:ascii="Times New Roman" w:eastAsia="Times New Roman" w:hAnsi="Times New Roman" w:cs="Times New Roman"/>
          <w:color w:val="2D2D2D"/>
          <w:sz w:val="24"/>
          <w:szCs w:val="24"/>
        </w:rPr>
        <w:t>By  2030</w:t>
      </w:r>
      <w:proofErr w:type="gramEnd"/>
      <w:r>
        <w:rPr>
          <w:rFonts w:ascii="Times New Roman" w:eastAsia="Times New Roman" w:hAnsi="Times New Roman" w:cs="Times New Roman"/>
          <w:color w:val="2D2D2D"/>
          <w:sz w:val="24"/>
          <w:szCs w:val="24"/>
        </w:rPr>
        <w:t xml:space="preserve">, the Saudi nation is </w:t>
      </w:r>
      <w:r>
        <w:rPr>
          <w:rFonts w:ascii="Times New Roman" w:eastAsia="Times New Roman" w:hAnsi="Times New Roman" w:cs="Times New Roman"/>
          <w:color w:val="2D2D2D"/>
          <w:sz w:val="24"/>
          <w:szCs w:val="24"/>
        </w:rPr>
        <w:t>expected to be among the top 10 in the world in terms of Global Competitiveness Index (GCI), increase direct foreign investment from 3.8% to over  5% of GDP and increase the private sector contribution from the current 40% to 65% of GDP.</w:t>
      </w:r>
    </w:p>
    <w:p w:rsidR="00D4196A" w:rsidRDefault="00E311BF">
      <w:pPr>
        <w:pStyle w:val="normal0"/>
        <w:spacing w:line="576" w:lineRule="auto"/>
        <w:ind w:firstLine="720"/>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There have been hu</w:t>
      </w:r>
      <w:r>
        <w:rPr>
          <w:rFonts w:ascii="Times New Roman" w:eastAsia="Times New Roman" w:hAnsi="Times New Roman" w:cs="Times New Roman"/>
          <w:color w:val="2D2D2D"/>
          <w:sz w:val="24"/>
          <w:szCs w:val="24"/>
        </w:rPr>
        <w:t>ge investments in the improvement of transportation infrastructure including roads, railways, ports, and airports to enhance the smooth flow of goods, people, and capital and to improve economic interconnectivity and integration among the GCC countries and</w:t>
      </w:r>
      <w:r>
        <w:rPr>
          <w:rFonts w:ascii="Times New Roman" w:eastAsia="Times New Roman" w:hAnsi="Times New Roman" w:cs="Times New Roman"/>
          <w:color w:val="2D2D2D"/>
          <w:sz w:val="24"/>
          <w:szCs w:val="24"/>
        </w:rPr>
        <w:t xml:space="preserve"> beyond. Corruption and the lack of accountable and transparent governance are major hindrances to economic advancement which require attention in national progressive agenda. Here, the necessity for a high standard of accountability, transparency, and zer</w:t>
      </w:r>
      <w:r>
        <w:rPr>
          <w:rFonts w:ascii="Times New Roman" w:eastAsia="Times New Roman" w:hAnsi="Times New Roman" w:cs="Times New Roman"/>
          <w:color w:val="2D2D2D"/>
          <w:sz w:val="24"/>
          <w:szCs w:val="24"/>
        </w:rPr>
        <w:t xml:space="preserve">o tolerance for corruption at ranks of the government </w:t>
      </w:r>
      <w:proofErr w:type="gramStart"/>
      <w:r>
        <w:rPr>
          <w:rFonts w:ascii="Times New Roman" w:eastAsia="Times New Roman" w:hAnsi="Times New Roman" w:cs="Times New Roman"/>
          <w:color w:val="2D2D2D"/>
          <w:sz w:val="24"/>
          <w:szCs w:val="24"/>
        </w:rPr>
        <w:t>is</w:t>
      </w:r>
      <w:proofErr w:type="gramEnd"/>
      <w:r>
        <w:rPr>
          <w:rFonts w:ascii="Times New Roman" w:eastAsia="Times New Roman" w:hAnsi="Times New Roman" w:cs="Times New Roman"/>
          <w:color w:val="2D2D2D"/>
          <w:sz w:val="24"/>
          <w:szCs w:val="24"/>
        </w:rPr>
        <w:t xml:space="preserve"> emphasized. Communication routes among citizens and state agencies on one hand and the private sector, on the other hand, would be improved to encourage active participation in national activities. B</w:t>
      </w:r>
      <w:r>
        <w:rPr>
          <w:rFonts w:ascii="Times New Roman" w:eastAsia="Times New Roman" w:hAnsi="Times New Roman" w:cs="Times New Roman"/>
          <w:color w:val="2D2D2D"/>
          <w:sz w:val="24"/>
          <w:szCs w:val="24"/>
        </w:rPr>
        <w:t>y improving administrative effectiveness and efficiency, the government also aims to expand non-oil state revenue from SAR 163 billion to about SAR 1 trillion, increase the country’s rank in the effectiveness of the government and improve its current posit</w:t>
      </w:r>
      <w:r>
        <w:rPr>
          <w:rFonts w:ascii="Times New Roman" w:eastAsia="Times New Roman" w:hAnsi="Times New Roman" w:cs="Times New Roman"/>
          <w:color w:val="2D2D2D"/>
          <w:sz w:val="24"/>
          <w:szCs w:val="24"/>
        </w:rPr>
        <w:t>ion on the e-government survey index from 36 in the year 2014 to 5 by 2030. Comprehensive regulations and radical spending controls that improve the efficiency of spending in the communal sector and reduce waste will also be sturdily pursued. Human resourc</w:t>
      </w:r>
      <w:r>
        <w:rPr>
          <w:rFonts w:ascii="Times New Roman" w:eastAsia="Times New Roman" w:hAnsi="Times New Roman" w:cs="Times New Roman"/>
          <w:color w:val="2D2D2D"/>
          <w:sz w:val="24"/>
          <w:szCs w:val="24"/>
        </w:rPr>
        <w:t xml:space="preserve">e development within the communal sector is also a priority. Under the King </w:t>
      </w:r>
      <w:proofErr w:type="spellStart"/>
      <w:r>
        <w:rPr>
          <w:rFonts w:ascii="Times New Roman" w:eastAsia="Times New Roman" w:hAnsi="Times New Roman" w:cs="Times New Roman"/>
          <w:color w:val="2D2D2D"/>
          <w:sz w:val="24"/>
          <w:szCs w:val="24"/>
        </w:rPr>
        <w:t>Salman</w:t>
      </w:r>
      <w:proofErr w:type="spellEnd"/>
      <w:r>
        <w:rPr>
          <w:rFonts w:ascii="Times New Roman" w:eastAsia="Times New Roman" w:hAnsi="Times New Roman" w:cs="Times New Roman"/>
          <w:color w:val="2D2D2D"/>
          <w:sz w:val="24"/>
          <w:szCs w:val="24"/>
        </w:rPr>
        <w:t xml:space="preserve"> </w:t>
      </w:r>
      <w:r>
        <w:rPr>
          <w:rFonts w:ascii="Times New Roman" w:eastAsia="Times New Roman" w:hAnsi="Times New Roman" w:cs="Times New Roman"/>
          <w:color w:val="2D2D2D"/>
          <w:sz w:val="24"/>
          <w:szCs w:val="24"/>
        </w:rPr>
        <w:lastRenderedPageBreak/>
        <w:t>Program for Human Resource Development, more than 500,000 employees are expected to be equipped and trained with the right experience through distance learning. This is to r</w:t>
      </w:r>
      <w:r>
        <w:rPr>
          <w:rFonts w:ascii="Times New Roman" w:eastAsia="Times New Roman" w:hAnsi="Times New Roman" w:cs="Times New Roman"/>
          <w:color w:val="2D2D2D"/>
          <w:sz w:val="24"/>
          <w:szCs w:val="24"/>
        </w:rPr>
        <w:t>aise the productivity of the public sector employees through the implementation of total performance management standards and the provision of training for career training as well as sharing of skills and knowledge. The Saudi Arabian government also values</w:t>
      </w:r>
      <w:r>
        <w:rPr>
          <w:rFonts w:ascii="Times New Roman" w:eastAsia="Times New Roman" w:hAnsi="Times New Roman" w:cs="Times New Roman"/>
          <w:color w:val="2D2D2D"/>
          <w:sz w:val="24"/>
          <w:szCs w:val="24"/>
        </w:rPr>
        <w:t xml:space="preserve"> the role of non-governmental organizations in dispensing assistance from international to regional and lastly to local levels. The impacts and resilience of these sectors will be improved through supportive rules and regulations that encourage endowments </w:t>
      </w:r>
      <w:r>
        <w:rPr>
          <w:rFonts w:ascii="Times New Roman" w:eastAsia="Times New Roman" w:hAnsi="Times New Roman" w:cs="Times New Roman"/>
          <w:color w:val="2D2D2D"/>
          <w:sz w:val="24"/>
          <w:szCs w:val="24"/>
        </w:rPr>
        <w:t>to effectively fund the sector. By nourishing these sectors, they would be able to play an increased role in vital sectors of the economy such as research, health-care, education, housing</w:t>
      </w:r>
      <w:r w:rsidR="00EC2D80">
        <w:rPr>
          <w:rFonts w:ascii="Times New Roman" w:eastAsia="Times New Roman" w:hAnsi="Times New Roman" w:cs="Times New Roman"/>
          <w:color w:val="2D2D2D"/>
          <w:sz w:val="24"/>
          <w:szCs w:val="24"/>
        </w:rPr>
        <w:t>, and</w:t>
      </w:r>
      <w:r>
        <w:rPr>
          <w:rFonts w:ascii="Times New Roman" w:eastAsia="Times New Roman" w:hAnsi="Times New Roman" w:cs="Times New Roman"/>
          <w:color w:val="2D2D2D"/>
          <w:sz w:val="24"/>
          <w:szCs w:val="24"/>
        </w:rPr>
        <w:t xml:space="preserve"> socio-cultural programs.</w:t>
      </w:r>
    </w:p>
    <w:p w:rsidR="00D4196A" w:rsidRDefault="00E311BF">
      <w:pPr>
        <w:pStyle w:val="normal0"/>
        <w:spacing w:line="576" w:lineRule="auto"/>
        <w:ind w:firstLine="720"/>
        <w:rPr>
          <w:rFonts w:ascii="Times New Roman" w:eastAsia="Times New Roman" w:hAnsi="Times New Roman" w:cs="Times New Roman"/>
          <w:color w:val="2D2D2D"/>
          <w:sz w:val="24"/>
          <w:szCs w:val="24"/>
        </w:rPr>
      </w:pPr>
      <w:r>
        <w:rPr>
          <w:rFonts w:ascii="Times New Roman" w:eastAsia="Times New Roman" w:hAnsi="Times New Roman" w:cs="Times New Roman"/>
          <w:color w:val="2D2D2D"/>
          <w:sz w:val="24"/>
          <w:szCs w:val="24"/>
        </w:rPr>
        <w:t>A major component of the KSA vision i</w:t>
      </w:r>
      <w:r>
        <w:rPr>
          <w:rFonts w:ascii="Times New Roman" w:eastAsia="Times New Roman" w:hAnsi="Times New Roman" w:cs="Times New Roman"/>
          <w:color w:val="2D2D2D"/>
          <w:sz w:val="24"/>
          <w:szCs w:val="24"/>
        </w:rPr>
        <w:t>s the NTP (National Transformation Program) 2020 which is a five-year blueprint of ministry-specific goals and yearly initiatives based on which to measure and monitor achievements of the general strategic vision. The KSA government through the NTP has var</w:t>
      </w:r>
      <w:r>
        <w:rPr>
          <w:rFonts w:ascii="Times New Roman" w:eastAsia="Times New Roman" w:hAnsi="Times New Roman" w:cs="Times New Roman"/>
          <w:color w:val="2D2D2D"/>
          <w:sz w:val="24"/>
          <w:szCs w:val="24"/>
        </w:rPr>
        <w:t xml:space="preserve">ious objectives which include: job creation, private sector enhancement through both public and private partnerships, digital diversification and local content maximization. To ensure sustainability and maximize impact, several measures have been employed </w:t>
      </w:r>
      <w:r>
        <w:rPr>
          <w:rFonts w:ascii="Times New Roman" w:eastAsia="Times New Roman" w:hAnsi="Times New Roman" w:cs="Times New Roman"/>
          <w:color w:val="2D2D2D"/>
          <w:sz w:val="24"/>
          <w:szCs w:val="24"/>
        </w:rPr>
        <w:t xml:space="preserve">including the necessity to boost transparency, the building of strong governance and institutional system and an augmented collaboration between all government support departments. The Human resource department of the KSA government has ensured that there </w:t>
      </w:r>
      <w:r>
        <w:rPr>
          <w:rFonts w:ascii="Times New Roman" w:eastAsia="Times New Roman" w:hAnsi="Times New Roman" w:cs="Times New Roman"/>
          <w:color w:val="2D2D2D"/>
          <w:sz w:val="24"/>
          <w:szCs w:val="24"/>
        </w:rPr>
        <w:t xml:space="preserve">are various important commitments in both the transformation program and Vision 2030 of the </w:t>
      </w:r>
      <w:r>
        <w:rPr>
          <w:rFonts w:ascii="Times New Roman" w:eastAsia="Times New Roman" w:hAnsi="Times New Roman" w:cs="Times New Roman"/>
          <w:color w:val="2D2D2D"/>
          <w:sz w:val="24"/>
          <w:szCs w:val="24"/>
        </w:rPr>
        <w:lastRenderedPageBreak/>
        <w:t>Saudi government to reposition the nation on the way to sustainability. A large number of the strategic aims fall within the main sustainable society index of a cle</w:t>
      </w:r>
      <w:r>
        <w:rPr>
          <w:rFonts w:ascii="Times New Roman" w:eastAsia="Times New Roman" w:hAnsi="Times New Roman" w:cs="Times New Roman"/>
          <w:color w:val="2D2D2D"/>
          <w:sz w:val="24"/>
          <w:szCs w:val="24"/>
        </w:rPr>
        <w:t>an society, personal development, sustainable use of available resources, and a well-balanced society.  This proposal has profiled the sustainability substance of the Vision 2030 of the kingdom Saudi Arabia within the circumstance of the SSI (Sustainable S</w:t>
      </w:r>
      <w:r>
        <w:rPr>
          <w:rFonts w:ascii="Times New Roman" w:eastAsia="Times New Roman" w:hAnsi="Times New Roman" w:cs="Times New Roman"/>
          <w:color w:val="2D2D2D"/>
          <w:sz w:val="24"/>
          <w:szCs w:val="24"/>
        </w:rPr>
        <w:t>ociety Index). From the context, it is evident that sustainability is a broad concept involving the environmental, social and economic aspects of the nation. These are majorly reflected sustainable society measures, making it an appropriate benchmark for t</w:t>
      </w:r>
      <w:r>
        <w:rPr>
          <w:rFonts w:ascii="Times New Roman" w:eastAsia="Times New Roman" w:hAnsi="Times New Roman" w:cs="Times New Roman"/>
          <w:color w:val="2D2D2D"/>
          <w:sz w:val="24"/>
          <w:szCs w:val="24"/>
        </w:rPr>
        <w:t>he measurement of the sustainability initiatives of the KSA’s 2020 NTP and 2030 Vision. While the 2030 Vision complies with some of the sustainable society indices, it can be concluded from the discussion that the aims and objectives have been formulated t</w:t>
      </w:r>
      <w:r>
        <w:rPr>
          <w:rFonts w:ascii="Times New Roman" w:eastAsia="Times New Roman" w:hAnsi="Times New Roman" w:cs="Times New Roman"/>
          <w:color w:val="2D2D2D"/>
          <w:sz w:val="24"/>
          <w:szCs w:val="24"/>
        </w:rPr>
        <w:t>o reflect the context aspirations and needs of Saudi Arabians government.</w:t>
      </w: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pPr>
        <w:pStyle w:val="normal0"/>
        <w:spacing w:line="480" w:lineRule="auto"/>
        <w:ind w:firstLine="720"/>
        <w:rPr>
          <w:rFonts w:ascii="Times New Roman" w:eastAsia="Times New Roman" w:hAnsi="Times New Roman" w:cs="Times New Roman"/>
          <w:color w:val="2D2D2D"/>
          <w:sz w:val="24"/>
          <w:szCs w:val="24"/>
        </w:rPr>
      </w:pPr>
    </w:p>
    <w:p w:rsidR="00D4196A" w:rsidRDefault="00D4196A" w:rsidP="00EC2D80">
      <w:pPr>
        <w:pStyle w:val="normal0"/>
        <w:spacing w:line="480" w:lineRule="auto"/>
        <w:rPr>
          <w:rFonts w:ascii="Times New Roman" w:eastAsia="Times New Roman" w:hAnsi="Times New Roman" w:cs="Times New Roman"/>
          <w:color w:val="2D2D2D"/>
          <w:sz w:val="24"/>
          <w:szCs w:val="24"/>
        </w:rPr>
      </w:pPr>
    </w:p>
    <w:p w:rsidR="00D4196A" w:rsidRDefault="00D4196A">
      <w:pPr>
        <w:pStyle w:val="normal0"/>
        <w:spacing w:line="480" w:lineRule="auto"/>
        <w:jc w:val="center"/>
        <w:rPr>
          <w:rFonts w:ascii="Times New Roman" w:eastAsia="Times New Roman" w:hAnsi="Times New Roman" w:cs="Times New Roman"/>
          <w:color w:val="2D2D2D"/>
          <w:sz w:val="24"/>
          <w:szCs w:val="24"/>
        </w:rPr>
      </w:pPr>
    </w:p>
    <w:p w:rsidR="00D4196A" w:rsidRPr="00EC2D80" w:rsidRDefault="00E311BF">
      <w:pPr>
        <w:pStyle w:val="normal0"/>
        <w:spacing w:line="480" w:lineRule="auto"/>
        <w:jc w:val="center"/>
        <w:rPr>
          <w:rFonts w:ascii="Times New Roman" w:eastAsia="Times New Roman" w:hAnsi="Times New Roman" w:cs="Times New Roman"/>
          <w:b/>
          <w:color w:val="2D2D2D"/>
          <w:sz w:val="24"/>
          <w:szCs w:val="24"/>
        </w:rPr>
      </w:pPr>
      <w:r w:rsidRPr="00EC2D80">
        <w:rPr>
          <w:rFonts w:ascii="Times New Roman" w:eastAsia="Times New Roman" w:hAnsi="Times New Roman" w:cs="Times New Roman"/>
          <w:b/>
          <w:color w:val="2D2D2D"/>
          <w:sz w:val="24"/>
          <w:szCs w:val="24"/>
        </w:rPr>
        <w:t>Works cited</w:t>
      </w:r>
    </w:p>
    <w:p w:rsidR="00D4196A" w:rsidRDefault="00E311BF">
      <w:pPr>
        <w:pStyle w:val="normal0"/>
        <w:spacing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Callen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Mr</w:t>
      </w:r>
      <w:proofErr w:type="spellEnd"/>
      <w:r>
        <w:rPr>
          <w:rFonts w:ascii="Times New Roman" w:eastAsia="Times New Roman" w:hAnsi="Times New Roman" w:cs="Times New Roman"/>
          <w:color w:val="222222"/>
          <w:sz w:val="24"/>
          <w:szCs w:val="24"/>
        </w:rPr>
        <w:t xml:space="preserve"> Tim, et al. </w:t>
      </w:r>
      <w:r>
        <w:rPr>
          <w:rFonts w:ascii="Times New Roman" w:eastAsia="Times New Roman" w:hAnsi="Times New Roman" w:cs="Times New Roman"/>
          <w:i/>
          <w:color w:val="222222"/>
          <w:sz w:val="24"/>
          <w:szCs w:val="24"/>
        </w:rPr>
        <w:t>Economic diversification in the GCC: Past, present, and future</w:t>
      </w:r>
      <w:r>
        <w:rPr>
          <w:rFonts w:ascii="Times New Roman" w:eastAsia="Times New Roman" w:hAnsi="Times New Roman" w:cs="Times New Roman"/>
          <w:color w:val="222222"/>
          <w:sz w:val="24"/>
          <w:szCs w:val="24"/>
        </w:rPr>
        <w:t xml:space="preserve">. International </w:t>
      </w:r>
    </w:p>
    <w:p w:rsidR="00D4196A" w:rsidRDefault="00E311BF">
      <w:pPr>
        <w:pStyle w:val="normal0"/>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roofErr w:type="gramStart"/>
      <w:r>
        <w:rPr>
          <w:rFonts w:ascii="Times New Roman" w:eastAsia="Times New Roman" w:hAnsi="Times New Roman" w:cs="Times New Roman"/>
          <w:color w:val="222222"/>
          <w:sz w:val="24"/>
          <w:szCs w:val="24"/>
        </w:rPr>
        <w:t>Monetary Fund, 2014.</w:t>
      </w:r>
      <w:proofErr w:type="gramEnd"/>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D2D2D"/>
          <w:sz w:val="24"/>
          <w:szCs w:val="24"/>
        </w:rPr>
      </w:pPr>
      <w:proofErr w:type="spellStart"/>
      <w:proofErr w:type="gramStart"/>
      <w:r>
        <w:rPr>
          <w:rFonts w:ascii="Times New Roman" w:eastAsia="Times New Roman" w:hAnsi="Times New Roman" w:cs="Times New Roman"/>
          <w:color w:val="2D2D2D"/>
          <w:sz w:val="24"/>
          <w:szCs w:val="24"/>
        </w:rPr>
        <w:t>Dammer</w:t>
      </w:r>
      <w:proofErr w:type="spellEnd"/>
      <w:r>
        <w:rPr>
          <w:rFonts w:ascii="Times New Roman" w:eastAsia="Times New Roman" w:hAnsi="Times New Roman" w:cs="Times New Roman"/>
          <w:color w:val="2D2D2D"/>
          <w:sz w:val="24"/>
          <w:szCs w:val="24"/>
        </w:rPr>
        <w:t>, Harry &amp; Albanese, Jay.</w:t>
      </w:r>
      <w:proofErr w:type="gramEnd"/>
      <w:r>
        <w:rPr>
          <w:rFonts w:ascii="Times New Roman" w:eastAsia="Times New Roman" w:hAnsi="Times New Roman" w:cs="Times New Roman"/>
          <w:color w:val="2D2D2D"/>
          <w:sz w:val="24"/>
          <w:szCs w:val="24"/>
        </w:rPr>
        <w:t xml:space="preserve"> </w:t>
      </w:r>
      <w:proofErr w:type="gramStart"/>
      <w:r>
        <w:rPr>
          <w:rFonts w:ascii="Times New Roman" w:eastAsia="Times New Roman" w:hAnsi="Times New Roman" w:cs="Times New Roman"/>
          <w:i/>
          <w:color w:val="2D2D2D"/>
          <w:sz w:val="24"/>
          <w:szCs w:val="24"/>
        </w:rPr>
        <w:t>Comparative criminal justice systems</w:t>
      </w:r>
      <w:r>
        <w:rPr>
          <w:rFonts w:ascii="Times New Roman" w:eastAsia="Times New Roman" w:hAnsi="Times New Roman" w:cs="Times New Roman"/>
          <w:color w:val="2D2D2D"/>
          <w:sz w:val="24"/>
          <w:szCs w:val="24"/>
        </w:rPr>
        <w:t>.</w:t>
      </w:r>
      <w:proofErr w:type="gramEnd"/>
      <w:r>
        <w:rPr>
          <w:rFonts w:ascii="Times New Roman" w:eastAsia="Times New Roman" w:hAnsi="Times New Roman" w:cs="Times New Roman"/>
          <w:color w:val="2D2D2D"/>
          <w:sz w:val="24"/>
          <w:szCs w:val="24"/>
        </w:rPr>
        <w:t xml:space="preserve"> Boston: </w:t>
      </w:r>
      <w:proofErr w:type="spellStart"/>
      <w:r>
        <w:rPr>
          <w:rFonts w:ascii="Times New Roman" w:eastAsia="Times New Roman" w:hAnsi="Times New Roman" w:cs="Times New Roman"/>
          <w:color w:val="2D2D2D"/>
          <w:sz w:val="24"/>
          <w:szCs w:val="24"/>
        </w:rPr>
        <w:t>Cengage</w:t>
      </w:r>
      <w:proofErr w:type="spellEnd"/>
      <w:r>
        <w:rPr>
          <w:rFonts w:ascii="Times New Roman" w:eastAsia="Times New Roman" w:hAnsi="Times New Roman" w:cs="Times New Roman"/>
          <w:color w:val="2D2D2D"/>
          <w:sz w:val="24"/>
          <w:szCs w:val="24"/>
        </w:rPr>
        <w:t xml:space="preserve"> </w:t>
      </w:r>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D2D2D"/>
          <w:sz w:val="24"/>
          <w:szCs w:val="24"/>
        </w:rPr>
        <w:tab/>
      </w:r>
      <w:proofErr w:type="gramStart"/>
      <w:r>
        <w:rPr>
          <w:rFonts w:ascii="Times New Roman" w:eastAsia="Times New Roman" w:hAnsi="Times New Roman" w:cs="Times New Roman"/>
          <w:color w:val="2D2D2D"/>
          <w:sz w:val="24"/>
          <w:szCs w:val="24"/>
        </w:rPr>
        <w:t>Learning, 2013.</w:t>
      </w:r>
      <w:proofErr w:type="gramEnd"/>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D2D2D"/>
          <w:sz w:val="24"/>
          <w:szCs w:val="24"/>
        </w:rPr>
      </w:pPr>
      <w:proofErr w:type="gramStart"/>
      <w:r>
        <w:rPr>
          <w:rFonts w:ascii="Times New Roman" w:eastAsia="Times New Roman" w:hAnsi="Times New Roman" w:cs="Times New Roman"/>
          <w:color w:val="2D2D2D"/>
          <w:sz w:val="24"/>
          <w:szCs w:val="24"/>
        </w:rPr>
        <w:t xml:space="preserve">Fox, Sean, and </w:t>
      </w:r>
      <w:proofErr w:type="spellStart"/>
      <w:r>
        <w:rPr>
          <w:rFonts w:ascii="Times New Roman" w:eastAsia="Times New Roman" w:hAnsi="Times New Roman" w:cs="Times New Roman"/>
          <w:color w:val="2D2D2D"/>
          <w:sz w:val="24"/>
          <w:szCs w:val="24"/>
        </w:rPr>
        <w:t>Goodfellow</w:t>
      </w:r>
      <w:proofErr w:type="spellEnd"/>
      <w:r>
        <w:rPr>
          <w:rFonts w:ascii="Times New Roman" w:eastAsia="Times New Roman" w:hAnsi="Times New Roman" w:cs="Times New Roman"/>
          <w:color w:val="2D2D2D"/>
          <w:sz w:val="24"/>
          <w:szCs w:val="24"/>
        </w:rPr>
        <w:t>, Tom.</w:t>
      </w:r>
      <w:proofErr w:type="gramEnd"/>
      <w:r>
        <w:rPr>
          <w:rFonts w:ascii="Times New Roman" w:eastAsia="Times New Roman" w:hAnsi="Times New Roman" w:cs="Times New Roman"/>
          <w:color w:val="2D2D2D"/>
          <w:sz w:val="24"/>
          <w:szCs w:val="24"/>
        </w:rPr>
        <w:t xml:space="preserve"> </w:t>
      </w:r>
      <w:proofErr w:type="gramStart"/>
      <w:r>
        <w:rPr>
          <w:rFonts w:ascii="Times New Roman" w:eastAsia="Times New Roman" w:hAnsi="Times New Roman" w:cs="Times New Roman"/>
          <w:i/>
          <w:color w:val="2D2D2D"/>
          <w:sz w:val="24"/>
          <w:szCs w:val="24"/>
        </w:rPr>
        <w:t>Cities and development</w:t>
      </w:r>
      <w:r>
        <w:rPr>
          <w:rFonts w:ascii="Times New Roman" w:eastAsia="Times New Roman" w:hAnsi="Times New Roman" w:cs="Times New Roman"/>
          <w:color w:val="2D2D2D"/>
          <w:sz w:val="24"/>
          <w:szCs w:val="24"/>
        </w:rPr>
        <w:t>.</w:t>
      </w:r>
      <w:proofErr w:type="gramEnd"/>
      <w:r>
        <w:rPr>
          <w:rFonts w:ascii="Times New Roman" w:eastAsia="Times New Roman" w:hAnsi="Times New Roman" w:cs="Times New Roman"/>
          <w:color w:val="2D2D2D"/>
          <w:sz w:val="24"/>
          <w:szCs w:val="24"/>
        </w:rPr>
        <w:t xml:space="preserve"> Abingdon: </w:t>
      </w:r>
      <w:proofErr w:type="spellStart"/>
      <w:r>
        <w:rPr>
          <w:rFonts w:ascii="Times New Roman" w:eastAsia="Times New Roman" w:hAnsi="Times New Roman" w:cs="Times New Roman"/>
          <w:color w:val="2D2D2D"/>
          <w:sz w:val="24"/>
          <w:szCs w:val="24"/>
        </w:rPr>
        <w:t>Routledge</w:t>
      </w:r>
      <w:proofErr w:type="spellEnd"/>
      <w:r>
        <w:rPr>
          <w:rFonts w:ascii="Times New Roman" w:eastAsia="Times New Roman" w:hAnsi="Times New Roman" w:cs="Times New Roman"/>
          <w:color w:val="2D2D2D"/>
          <w:sz w:val="24"/>
          <w:szCs w:val="24"/>
        </w:rPr>
        <w:t>, 2016. Print.</w:t>
      </w:r>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proofErr w:type="spellStart"/>
      <w:proofErr w:type="gramStart"/>
      <w:r>
        <w:rPr>
          <w:rFonts w:ascii="Times New Roman" w:eastAsia="Times New Roman" w:hAnsi="Times New Roman" w:cs="Times New Roman"/>
          <w:color w:val="222222"/>
          <w:sz w:val="24"/>
          <w:szCs w:val="24"/>
        </w:rPr>
        <w:t>Frenken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Koen</w:t>
      </w:r>
      <w:proofErr w:type="spellEnd"/>
      <w:r>
        <w:rPr>
          <w:rFonts w:ascii="Times New Roman" w:eastAsia="Times New Roman" w:hAnsi="Times New Roman" w:cs="Times New Roman"/>
          <w:color w:val="222222"/>
          <w:sz w:val="24"/>
          <w:szCs w:val="24"/>
        </w:rPr>
        <w:t xml:space="preserve">, Frank Van </w:t>
      </w:r>
      <w:proofErr w:type="spellStart"/>
      <w:r>
        <w:rPr>
          <w:rFonts w:ascii="Times New Roman" w:eastAsia="Times New Roman" w:hAnsi="Times New Roman" w:cs="Times New Roman"/>
          <w:color w:val="222222"/>
          <w:sz w:val="24"/>
          <w:szCs w:val="24"/>
        </w:rPr>
        <w:t>Oort</w:t>
      </w:r>
      <w:proofErr w:type="spellEnd"/>
      <w:r>
        <w:rPr>
          <w:rFonts w:ascii="Times New Roman" w:eastAsia="Times New Roman" w:hAnsi="Times New Roman" w:cs="Times New Roman"/>
          <w:color w:val="222222"/>
          <w:sz w:val="24"/>
          <w:szCs w:val="24"/>
        </w:rPr>
        <w:t xml:space="preserve">, and </w:t>
      </w:r>
      <w:proofErr w:type="spellStart"/>
      <w:r>
        <w:rPr>
          <w:rFonts w:ascii="Times New Roman" w:eastAsia="Times New Roman" w:hAnsi="Times New Roman" w:cs="Times New Roman"/>
          <w:color w:val="222222"/>
          <w:sz w:val="24"/>
          <w:szCs w:val="24"/>
        </w:rPr>
        <w:t>Thijs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Verburg</w:t>
      </w:r>
      <w:proofErr w:type="spellEnd"/>
      <w:r>
        <w:rPr>
          <w:rFonts w:ascii="Times New Roman" w:eastAsia="Times New Roman" w:hAnsi="Times New Roman" w:cs="Times New Roman"/>
          <w:color w:val="222222"/>
          <w:sz w:val="24"/>
          <w:szCs w:val="24"/>
        </w:rPr>
        <w:t>.</w:t>
      </w:r>
      <w:proofErr w:type="gramEnd"/>
      <w:r>
        <w:rPr>
          <w:rFonts w:ascii="Times New Roman" w:eastAsia="Times New Roman" w:hAnsi="Times New Roman" w:cs="Times New Roman"/>
          <w:color w:val="222222"/>
          <w:sz w:val="24"/>
          <w:szCs w:val="24"/>
        </w:rPr>
        <w:t xml:space="preserve"> "Related variety, unrelated variety and </w:t>
      </w:r>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roofErr w:type="gramStart"/>
      <w:r>
        <w:rPr>
          <w:rFonts w:ascii="Times New Roman" w:eastAsia="Times New Roman" w:hAnsi="Times New Roman" w:cs="Times New Roman"/>
          <w:color w:val="222222"/>
          <w:sz w:val="24"/>
          <w:szCs w:val="24"/>
        </w:rPr>
        <w:t>regional</w:t>
      </w:r>
      <w:proofErr w:type="gramEnd"/>
      <w:r>
        <w:rPr>
          <w:rFonts w:ascii="Times New Roman" w:eastAsia="Times New Roman" w:hAnsi="Times New Roman" w:cs="Times New Roman"/>
          <w:color w:val="222222"/>
          <w:sz w:val="24"/>
          <w:szCs w:val="24"/>
        </w:rPr>
        <w:t xml:space="preserve"> economic growth." </w:t>
      </w:r>
      <w:r>
        <w:rPr>
          <w:rFonts w:ascii="Times New Roman" w:eastAsia="Times New Roman" w:hAnsi="Times New Roman" w:cs="Times New Roman"/>
          <w:i/>
          <w:color w:val="222222"/>
          <w:sz w:val="24"/>
          <w:szCs w:val="24"/>
        </w:rPr>
        <w:t>Regional studies</w:t>
      </w:r>
      <w:r>
        <w:rPr>
          <w:rFonts w:ascii="Times New Roman" w:eastAsia="Times New Roman" w:hAnsi="Times New Roman" w:cs="Times New Roman"/>
          <w:color w:val="222222"/>
          <w:sz w:val="24"/>
          <w:szCs w:val="24"/>
        </w:rPr>
        <w:t xml:space="preserve"> 41.5 (2007): 685-697.</w:t>
      </w:r>
    </w:p>
    <w:p w:rsidR="00D4196A" w:rsidRDefault="00E311BF">
      <w:pPr>
        <w:pStyle w:val="normal0"/>
        <w:pBdr>
          <w:left w:val="none" w:sz="0" w:space="28" w:color="auto"/>
          <w:bottom w:val="none" w:sz="0" w:space="10" w:color="auto"/>
        </w:pBdr>
        <w:shd w:val="clear" w:color="auto" w:fill="FFFFFF"/>
        <w:spacing w:line="480" w:lineRule="auto"/>
        <w:jc w:val="both"/>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color w:val="2D2D2D"/>
          <w:sz w:val="24"/>
          <w:szCs w:val="24"/>
        </w:rPr>
        <w:t xml:space="preserve">Hall, Anthony &amp; </w:t>
      </w:r>
      <w:proofErr w:type="spellStart"/>
      <w:r>
        <w:rPr>
          <w:rFonts w:ascii="Times New Roman" w:eastAsia="Times New Roman" w:hAnsi="Times New Roman" w:cs="Times New Roman"/>
          <w:color w:val="2D2D2D"/>
          <w:sz w:val="24"/>
          <w:szCs w:val="24"/>
        </w:rPr>
        <w:t>Midgley</w:t>
      </w:r>
      <w:proofErr w:type="spellEnd"/>
      <w:r>
        <w:rPr>
          <w:rFonts w:ascii="Times New Roman" w:eastAsia="Times New Roman" w:hAnsi="Times New Roman" w:cs="Times New Roman"/>
          <w:color w:val="2D2D2D"/>
          <w:sz w:val="24"/>
          <w:szCs w:val="24"/>
        </w:rPr>
        <w:t>, James.</w:t>
      </w:r>
      <w:proofErr w:type="gramEnd"/>
      <w:r>
        <w:rPr>
          <w:rFonts w:ascii="Times New Roman" w:eastAsia="Times New Roman" w:hAnsi="Times New Roman" w:cs="Times New Roman"/>
          <w:color w:val="2D2D2D"/>
          <w:sz w:val="24"/>
          <w:szCs w:val="24"/>
        </w:rPr>
        <w:t xml:space="preserve"> </w:t>
      </w:r>
      <w:proofErr w:type="gramStart"/>
      <w:r>
        <w:rPr>
          <w:rFonts w:ascii="Times New Roman" w:eastAsia="Times New Roman" w:hAnsi="Times New Roman" w:cs="Times New Roman"/>
          <w:i/>
          <w:color w:val="2D2D2D"/>
          <w:sz w:val="24"/>
          <w:szCs w:val="24"/>
        </w:rPr>
        <w:t>Social policy for development</w:t>
      </w:r>
      <w:r>
        <w:rPr>
          <w:rFonts w:ascii="Times New Roman" w:eastAsia="Times New Roman" w:hAnsi="Times New Roman" w:cs="Times New Roman"/>
          <w:color w:val="2D2D2D"/>
          <w:sz w:val="24"/>
          <w:szCs w:val="24"/>
        </w:rPr>
        <w:t>.</w:t>
      </w:r>
      <w:proofErr w:type="gramEnd"/>
      <w:r>
        <w:rPr>
          <w:rFonts w:ascii="Times New Roman" w:eastAsia="Times New Roman" w:hAnsi="Times New Roman" w:cs="Times New Roman"/>
          <w:color w:val="2D2D2D"/>
          <w:sz w:val="24"/>
          <w:szCs w:val="24"/>
        </w:rPr>
        <w:t xml:space="preserve"> New York: Sage, 2004. Print</w:t>
      </w:r>
    </w:p>
    <w:sectPr w:rsidR="00D4196A" w:rsidSect="00D4196A">
      <w:headerReference w:type="default" r:id="rId6"/>
      <w:headerReference w:type="first" r:id="rId7"/>
      <w:footerReference w:type="first" r:id="rId8"/>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1BF" w:rsidRDefault="00E311BF" w:rsidP="00D4196A">
      <w:pPr>
        <w:spacing w:line="240" w:lineRule="auto"/>
      </w:pPr>
      <w:r>
        <w:separator/>
      </w:r>
    </w:p>
  </w:endnote>
  <w:endnote w:type="continuationSeparator" w:id="0">
    <w:p w:rsidR="00E311BF" w:rsidRDefault="00E311BF" w:rsidP="00D4196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6A" w:rsidRDefault="00D4196A">
    <w:pPr>
      <w:pStyle w:val="norm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1BF" w:rsidRDefault="00E311BF" w:rsidP="00D4196A">
      <w:pPr>
        <w:spacing w:line="240" w:lineRule="auto"/>
      </w:pPr>
      <w:r>
        <w:separator/>
      </w:r>
    </w:p>
  </w:footnote>
  <w:footnote w:type="continuationSeparator" w:id="0">
    <w:p w:rsidR="00E311BF" w:rsidRDefault="00E311BF" w:rsidP="00D4196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6A" w:rsidRDefault="00D4196A">
    <w:pPr>
      <w:pStyle w:val="normal0"/>
      <w:jc w:val="right"/>
    </w:pPr>
    <w:r>
      <w:fldChar w:fldCharType="begin"/>
    </w:r>
    <w:r w:rsidR="00E311BF">
      <w:instrText>PAGE</w:instrText>
    </w:r>
    <w:r w:rsidR="00EC2D80">
      <w:fldChar w:fldCharType="separate"/>
    </w:r>
    <w:r w:rsidR="00EC2D80">
      <w:rPr>
        <w:noProof/>
      </w:rPr>
      <w:t>2</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6A" w:rsidRDefault="00E311BF">
    <w:pPr>
      <w:pStyle w:val="normal0"/>
      <w:spacing w:line="480" w:lineRule="auto"/>
      <w:ind w:left="7920"/>
      <w:rPr>
        <w:rFonts w:ascii="Times New Roman" w:eastAsia="Times New Roman" w:hAnsi="Times New Roman" w:cs="Times New Roman"/>
        <w:sz w:val="24"/>
        <w:szCs w:val="24"/>
      </w:rPr>
    </w:pPr>
    <w:r>
      <w:rPr>
        <w:rFonts w:ascii="Times New Roman" w:eastAsia="Times New Roman" w:hAnsi="Times New Roman" w:cs="Times New Roman"/>
        <w:sz w:val="24"/>
        <w:szCs w:val="24"/>
      </w:rPr>
      <w:t>Surname</w:t>
    </w:r>
    <w:proofErr w:type="gramStart"/>
    <w:r>
      <w:rPr>
        <w:rFonts w:ascii="Times New Roman" w:eastAsia="Times New Roman" w:hAnsi="Times New Roman" w:cs="Times New Roman"/>
        <w:sz w:val="24"/>
        <w:szCs w:val="24"/>
      </w:rPr>
      <w:t>:</w:t>
    </w:r>
    <w:proofErr w:type="gramEnd"/>
    <w:r w:rsidR="00D4196A">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EC2D80">
      <w:rPr>
        <w:rFonts w:ascii="Times New Roman" w:eastAsia="Times New Roman" w:hAnsi="Times New Roman" w:cs="Times New Roman"/>
        <w:sz w:val="24"/>
        <w:szCs w:val="24"/>
      </w:rPr>
      <w:fldChar w:fldCharType="separate"/>
    </w:r>
    <w:r w:rsidR="00EC2D80">
      <w:rPr>
        <w:rFonts w:ascii="Times New Roman" w:eastAsia="Times New Roman" w:hAnsi="Times New Roman" w:cs="Times New Roman"/>
        <w:noProof/>
        <w:sz w:val="24"/>
        <w:szCs w:val="24"/>
      </w:rPr>
      <w:t>1</w:t>
    </w:r>
    <w:r w:rsidR="00D4196A">
      <w:rPr>
        <w:rFonts w:ascii="Times New Roman" w:eastAsia="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4196A"/>
    <w:rsid w:val="002F4B18"/>
    <w:rsid w:val="00D4196A"/>
    <w:rsid w:val="00E311BF"/>
    <w:rsid w:val="00EC2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D4196A"/>
    <w:pPr>
      <w:keepNext/>
      <w:keepLines/>
      <w:spacing w:before="400" w:after="120"/>
      <w:outlineLvl w:val="0"/>
    </w:pPr>
    <w:rPr>
      <w:sz w:val="40"/>
      <w:szCs w:val="40"/>
    </w:rPr>
  </w:style>
  <w:style w:type="paragraph" w:styleId="Heading2">
    <w:name w:val="heading 2"/>
    <w:basedOn w:val="normal0"/>
    <w:next w:val="normal0"/>
    <w:rsid w:val="00D4196A"/>
    <w:pPr>
      <w:keepNext/>
      <w:keepLines/>
      <w:spacing w:before="360" w:after="120"/>
      <w:outlineLvl w:val="1"/>
    </w:pPr>
    <w:rPr>
      <w:sz w:val="32"/>
      <w:szCs w:val="32"/>
    </w:rPr>
  </w:style>
  <w:style w:type="paragraph" w:styleId="Heading3">
    <w:name w:val="heading 3"/>
    <w:basedOn w:val="normal0"/>
    <w:next w:val="normal0"/>
    <w:rsid w:val="00D4196A"/>
    <w:pPr>
      <w:keepNext/>
      <w:keepLines/>
      <w:spacing w:before="320" w:after="80"/>
      <w:outlineLvl w:val="2"/>
    </w:pPr>
    <w:rPr>
      <w:color w:val="434343"/>
      <w:sz w:val="28"/>
      <w:szCs w:val="28"/>
    </w:rPr>
  </w:style>
  <w:style w:type="paragraph" w:styleId="Heading4">
    <w:name w:val="heading 4"/>
    <w:basedOn w:val="normal0"/>
    <w:next w:val="normal0"/>
    <w:rsid w:val="00D4196A"/>
    <w:pPr>
      <w:keepNext/>
      <w:keepLines/>
      <w:spacing w:before="280" w:after="80"/>
      <w:outlineLvl w:val="3"/>
    </w:pPr>
    <w:rPr>
      <w:color w:val="666666"/>
      <w:sz w:val="24"/>
      <w:szCs w:val="24"/>
    </w:rPr>
  </w:style>
  <w:style w:type="paragraph" w:styleId="Heading5">
    <w:name w:val="heading 5"/>
    <w:basedOn w:val="normal0"/>
    <w:next w:val="normal0"/>
    <w:rsid w:val="00D4196A"/>
    <w:pPr>
      <w:keepNext/>
      <w:keepLines/>
      <w:spacing w:before="240" w:after="80"/>
      <w:outlineLvl w:val="4"/>
    </w:pPr>
    <w:rPr>
      <w:color w:val="666666"/>
    </w:rPr>
  </w:style>
  <w:style w:type="paragraph" w:styleId="Heading6">
    <w:name w:val="heading 6"/>
    <w:basedOn w:val="normal0"/>
    <w:next w:val="normal0"/>
    <w:rsid w:val="00D4196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D4196A"/>
  </w:style>
  <w:style w:type="paragraph" w:styleId="Title">
    <w:name w:val="Title"/>
    <w:basedOn w:val="normal0"/>
    <w:next w:val="normal0"/>
    <w:rsid w:val="00D4196A"/>
    <w:pPr>
      <w:keepNext/>
      <w:keepLines/>
      <w:spacing w:after="60"/>
    </w:pPr>
    <w:rPr>
      <w:sz w:val="52"/>
      <w:szCs w:val="52"/>
    </w:rPr>
  </w:style>
  <w:style w:type="paragraph" w:styleId="Subtitle">
    <w:name w:val="Subtitle"/>
    <w:basedOn w:val="normal0"/>
    <w:next w:val="normal0"/>
    <w:rsid w:val="00D4196A"/>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2865</Words>
  <Characters>16332</Characters>
  <Application>Microsoft Office Word</Application>
  <DocSecurity>0</DocSecurity>
  <Lines>136</Lines>
  <Paragraphs>38</Paragraphs>
  <ScaleCrop>false</ScaleCrop>
  <Company/>
  <LinksUpToDate>false</LinksUpToDate>
  <CharactersWithSpaces>19159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2018-05-01T04:36:00Z</dcterms:created>
  <dcterms:modified xsi:type="dcterms:W3CDTF">2018-05-01T04:36:00Z</dcterms:modified>
</cp:coreProperties>
</file>